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A0" w:rsidRPr="007B4FA0" w:rsidRDefault="007B4FA0" w:rsidP="007B4FA0">
      <w:pPr>
        <w:rPr>
          <w:b/>
          <w:color w:val="000000" w:themeColor="text1"/>
          <w:sz w:val="24"/>
          <w:szCs w:val="24"/>
        </w:rPr>
      </w:pPr>
      <w:r>
        <w:t>... BÖLGE ADLİYE MAHKEMESİ İLGİLİ DAİRESİ’NE</w:t>
      </w:r>
    </w:p>
    <w:p w:rsidR="007B4FA0" w:rsidRPr="007B4FA0" w:rsidRDefault="007B4FA0" w:rsidP="007B4FA0">
      <w:pPr>
        <w:rPr>
          <w:b/>
          <w:color w:val="000000" w:themeColor="text1"/>
          <w:sz w:val="24"/>
          <w:szCs w:val="24"/>
        </w:rPr>
      </w:pPr>
      <w:r>
        <w:t>GÖNDERİLMEK ÜZERE</w:t>
      </w:r>
    </w:p>
    <w:p w:rsidR="007B4FA0" w:rsidRDefault="007B4FA0" w:rsidP="007B4FA0">
      <w:pPr>
        <w:rPr>
          <w:b/>
          <w:color w:val="000000" w:themeColor="text1"/>
          <w:sz w:val="24"/>
          <w:szCs w:val="24"/>
        </w:rPr>
      </w:pPr>
      <w:r>
        <w:t xml:space="preserve">... 14.İŞ MAHKEMESİ SAYIN HAKİMLİĞİNE </w:t>
      </w:r>
    </w:p>
    <w:p w:rsidR="00766A4D" w:rsidRPr="00766A4D" w:rsidRDefault="00766A4D" w:rsidP="007B4FA0">
      <w:pPr>
        <w:rPr>
          <w:b/>
          <w:u w:val="single"/>
        </w:rPr>
      </w:pPr>
      <w:r>
        <w:t xml:space="preserve">                                                                                                           TEHİRİ İCRA TALEPLİDİR</w:t>
      </w:r>
    </w:p>
    <w:p w:rsidR="007B4FA0" w:rsidRDefault="007B4FA0" w:rsidP="007B4FA0">
      <w:pPr>
        <w:jc w:val="both"/>
        <w:rPr>
          <w:b/>
          <w:color w:val="000000" w:themeColor="text1"/>
          <w:sz w:val="24"/>
          <w:szCs w:val="24"/>
        </w:rPr>
      </w:pPr>
      <w:r/>
    </w:p>
    <w:p w:rsidR="00BF1513" w:rsidRDefault="00BF1513" w:rsidP="00BF1513">
      <w:pPr>
        <w:jc w:val="both"/>
        <w:rPr>
          <w:b/>
        </w:rPr>
      </w:pPr>
      <w:r>
        <w:t>ESAS NO</w:t>
        <w:tab/>
        <w:tab/>
        <w:t>: 20**/***</w:t>
        <w:tab/>
      </w:r>
    </w:p>
    <w:p w:rsidR="00BF1513" w:rsidRDefault="00341BFD" w:rsidP="00BF1513">
      <w:pPr>
        <w:jc w:val="both"/>
        <w:rPr>
          <w:b/>
        </w:rPr>
      </w:pPr>
      <w:r>
        <w:t>KARAR NO</w:t>
        <w:tab/>
        <w:tab/>
        <w:t>: 20**/**</w:t>
      </w:r>
    </w:p>
    <w:p w:rsidR="00BF1513" w:rsidRDefault="00BF1513" w:rsidP="00BF1513">
      <w:pPr>
        <w:pStyle w:val="AralkYok"/>
        <w:jc w:val="both"/>
        <w:rPr>
          <w:b/>
        </w:rPr>
      </w:pPr>
      <w:r>
        <w:t>İSTİNAF TALEBİNDE</w:t>
      </w:r>
    </w:p>
    <w:p w:rsidR="00BF1513" w:rsidRDefault="00BF1513" w:rsidP="00BF1513">
      <w:pPr>
        <w:pStyle w:val="AralkYok"/>
        <w:jc w:val="both"/>
      </w:pPr>
      <w:r>
        <w:t>BULUNAN DAVALI</w:t>
        <w:tab/>
        <w:t>: ************. A.Ş.</w:t>
      </w:r>
    </w:p>
    <w:p w:rsidR="00BF1513" w:rsidRDefault="00BF1513" w:rsidP="00BF1513">
      <w:pPr>
        <w:pStyle w:val="AralkYok"/>
        <w:jc w:val="both"/>
      </w:pPr>
      <w:r/>
    </w:p>
    <w:p w:rsidR="00BF1513" w:rsidRDefault="00BF1513" w:rsidP="00BF1513">
      <w:pPr>
        <w:pStyle w:val="AralkYok"/>
        <w:jc w:val="both"/>
      </w:pPr>
      <w:r>
        <w:t>VEKİLİ</w:t>
        <w:tab/>
        <w:tab/>
        <w:tab/>
        <w:t>: ***********</w:t>
      </w:r>
    </w:p>
    <w:p w:rsidR="00BF1513" w:rsidRDefault="00BF1513" w:rsidP="00BF1513">
      <w:pPr>
        <w:pStyle w:val="AralkYok"/>
        <w:jc w:val="both"/>
      </w:pPr>
      <w:r>
        <w:tab/>
        <w:tab/>
        <w:tab/>
        <w:t>******************************* .../...</w:t>
      </w:r>
    </w:p>
    <w:p w:rsidR="00BF1513" w:rsidRDefault="00BF1513" w:rsidP="00BF1513">
      <w:pPr>
        <w:pStyle w:val="AralkYok"/>
        <w:jc w:val="both"/>
        <w:rPr>
          <w:b/>
        </w:rPr>
      </w:pPr>
      <w:r/>
    </w:p>
    <w:p w:rsidR="00BF1513" w:rsidRDefault="00BF1513" w:rsidP="00BF1513">
      <w:pPr>
        <w:pStyle w:val="AralkYok"/>
        <w:jc w:val="both"/>
      </w:pPr>
      <w:r>
        <w:t>DAVACI</w:t>
        <w:tab/>
        <w:tab/>
        <w:t>: *********</w:t>
      </w:r>
    </w:p>
    <w:p w:rsidR="00BF1513" w:rsidRDefault="00BF1513" w:rsidP="00BF1513">
      <w:pPr>
        <w:pStyle w:val="AralkYok"/>
        <w:jc w:val="both"/>
        <w:rPr>
          <w:b/>
        </w:rPr>
      </w:pPr>
      <w:r/>
    </w:p>
    <w:p w:rsidR="00BF1513" w:rsidRDefault="00BF1513" w:rsidP="00BF1513">
      <w:pPr>
        <w:pStyle w:val="AralkYok"/>
        <w:jc w:val="both"/>
      </w:pPr>
      <w:r>
        <w:t>VEKİLİ</w:t>
        <w:tab/>
        <w:tab/>
        <w:tab/>
        <w:t>: *****************</w:t>
      </w:r>
    </w:p>
    <w:p w:rsidR="00BF1513" w:rsidRDefault="00BF1513" w:rsidP="00BF1513">
      <w:pPr>
        <w:pStyle w:val="AralkYok"/>
        <w:jc w:val="both"/>
      </w:pPr>
      <w:r/>
    </w:p>
    <w:p w:rsidR="00BF1513" w:rsidRDefault="00BF1513" w:rsidP="00BF1513">
      <w:pPr>
        <w:jc w:val="both"/>
      </w:pPr>
      <w:r>
        <w:t>KONU</w:t>
        <w:tab/>
        <w:tab/>
        <w:tab/>
        <w:t>: Gerekçeli istinaf nedenlerimizin sunulmasından ibarettir.</w:t>
      </w:r>
    </w:p>
    <w:p w:rsidR="00BF1513" w:rsidRDefault="00BF1513" w:rsidP="00BF1513">
      <w:pPr>
        <w:pStyle w:val="AralkYok"/>
        <w:jc w:val="both"/>
        <w:rPr>
          <w:b/>
        </w:rPr>
      </w:pPr>
      <w:r>
        <w:t>AÇIKLAMALAR</w:t>
        <w:tab/>
        <w:tab/>
        <w:t xml:space="preserve">: </w:t>
      </w:r>
    </w:p>
    <w:p w:rsidR="00BF1513" w:rsidRDefault="00BF1513" w:rsidP="00BF1513">
      <w:pPr>
        <w:pStyle w:val="AralkYok"/>
        <w:jc w:val="both"/>
      </w:pPr>
      <w:r>
        <w:tab/>
        <w:t>1- Yukarıda esas ve karar numarası yazılı olan dosyada mahkemenizce davanın kısmen kabulüne karar verilmiş olup,söz konusu 23.01.2018 tarihli  gerekçeli karar 20.02.2018 tarihinde tarafımıza tebliğ edilmiştir.Mahkemenizce verilen karara karşı yasal süresi içinde istinaf kanun yoluna başvurulmuştur.Gerekçeli kararın tarafımıza tebliğ edilmesinden sonra gerekçeli istinaf nedenlerimizi sunuyoruz.</w:t>
      </w:r>
    </w:p>
    <w:p w:rsidR="00C4108A" w:rsidRDefault="00BF1513" w:rsidP="00C4108A">
      <w:r>
        <w:t>2-Dosya kapsamında davacı tarafın iş akdinin feshedilmesi  üzerine ... 16.İş mahkemesinin 20**/**** Esas sayılı dosyasında işe iade davası açılmıştır. Mahkemece yapılan yargılama sonucu iş akdinin feshinin geçersizliğine ve davacının işe iadesine karar verilmiştir. Söz konusu karar tarafımızca temyiz edilmiştir. Yargıtay 9.Hukuk Dairesi mahkemece verilen kararın  onanmasına karar vermiştir. Karar neticesinde davacı tarafa yasal süre içerisinde işe davet mektubu gönderilmiştir.</w:t>
      </w:r>
    </w:p>
    <w:p w:rsidR="00BF1513" w:rsidRPr="00A96033" w:rsidRDefault="00BF1513" w:rsidP="00BF1513">
      <w:pPr>
        <w:pStyle w:val="AralkYok"/>
        <w:jc w:val="both"/>
      </w:pPr>
      <w:r>
        <w:tab/>
        <w:t>3-Öncelikle, gerekçeli kararda “işe davetin işçinin bizzat kendisine yapılması ve işe başlayacağı yerin açıkça belirtilmesi gerektiği.oysa ki ihtarnamenin işçinin vekiline yapıldığı gibi,davacının nerede işe başlayacağının da belirtilmediği“ görüşüne yer verilmişse ve hükme esas alınsa da, YHGK kararına göre , işveren tarafından yapılan işe davet yazısının mutlaka,asile tebliğ edilmesi gerekmez.Yasal 30 gün içinde vekile veya asile gönderilecek samimi bir işe davet çağrısı yeterlidir.</w:t>
      </w:r>
    </w:p>
    <w:p w:rsidR="00BE1939" w:rsidRDefault="00BE1939" w:rsidP="00BE1939">
      <w:pPr>
        <w:rPr>
          <w:rFonts w:cs="Arial"/>
          <w:color w:val="000000" w:themeColor="text1"/>
          <w:sz w:val="27"/>
          <w:szCs w:val="27"/>
        </w:rPr>
      </w:pPr>
      <w:r>
        <w:t xml:space="preserve">            Yargıtay Hukuk Genel Kurulu’nun 2013/22-1106 E. – 2014/538 K.  Sayılı kararında “İşverenin de işçinin işe başlama isteğinin kabul edildiğini bir ay içinde işçiye bildirmesi gerekmekle birlikte, tebligat sorunları sebebiyle bildirimin süresi içinde yapılamaması halinde bundan işveren sorumlu makul süre işçinin işe daveti içeren bildirim anında işyerinin bulunduğu yerde ikamet etmesi durumunda en fazla iki günlük süre olarak değerlendirilebilir. İşçinin işe iadeyi içeren tebligatı işyerinden farklı bir yerde alması halinde ise, 4857 Sayılı Kanun'un 56. maddesinin son fıkrasında izinler için öngörülen en çok dört güne kadar yol süresi makul süre olarak değerlendirilebilir. Bu durumda işçinin en fazla dört gün içinde işe başlaması beklenmelidir. Hükmüne yer verilerek yerel mahkemenin direnme kararının bozulmasına karar verilmiştir. Yine aynı kararda </w:t>
        <w:tab/>
        <w:t xml:space="preserve">“İşçinin işe iade yönündeki başvurusu samimi olmalıdır. İşçinin gerçekte işe başlamak niyeti olmadığı halde, işe iade davasının sonuçlarından yararlanmak için yapmış olduğu başvuru geçerli bir işe iade başvurusu olarak değerlendirilemez. İşçinin süresi içinde işe iade yönünde başvurusunun ardından, işverenin daveti üzerine işe başlamamış olması halinde, işçinin gerçek amacının işe başlamak olmadığı kabul edilmelidir. Başka bir anlatımla, işçi işverene hiç başvurmamış gibi sonuca gidilmelidir. Bu durumda işverence yapılan fesih, 4857 Sayılı Kanun'un 21/5. maddesine göre geçerli bir feshin sonuçlarını doğurur. Bunun sonucu olarak da, işe iade davasında karara bağlanan işe başlatmama tazminatıyla boşta geçen süreye ait ücret ve diğer hakların talebi mümkün olmaz…“bu nedenlerle davanın kısmen kabulü kapsamında boşta geçen ücret alacağının işe başlatılmama tarihinden başlayarak yasal faizi ile birlikte davacıya ödenmesi kararının ilgili YHGK kararı göz önüne alınarak reddi gerekir. Tutulamaz. İşverence yasal süre içinde gönderilmiş olsa da, işçinin bir aylık işe başlatma süresi aşıldıktan sonra eline geçen bildirim üzerine makul bir süre içinde işe başlaması gerekir. Burada </w:t>
      </w:r>
    </w:p>
    <w:p w:rsidR="009F7017" w:rsidRDefault="009F7017" w:rsidP="009F7017">
      <w:pPr>
        <w:pStyle w:val="AralkYok"/>
        <w:jc w:val="both"/>
      </w:pPr>
      <w:r>
        <w:t xml:space="preserve">              4-Müvekkil işveren tarafından gönderilen işe başlama davetinde, fesih sonrasında emsal nitelikteki diğer personele yapılan ücret ve diğer sosyal hak artışlarının ve ödemelerin de uygulanması ile aynı görevde işe başlatılacağı bildirilmiştir.Bu nedenle davacı tarafın taleplerinin reddi gerekir.</w:t>
      </w:r>
    </w:p>
    <w:p w:rsidR="00662A3C" w:rsidRDefault="00662A3C" w:rsidP="009F7017">
      <w:pPr>
        <w:pStyle w:val="AralkYok"/>
        <w:jc w:val="both"/>
        <w:rPr>
          <w:i/>
        </w:rPr>
      </w:pPr>
      <w:r/>
    </w:p>
    <w:p w:rsidR="00063914" w:rsidRDefault="009F7017" w:rsidP="009F7017">
      <w:pPr>
        <w:pStyle w:val="AralkYok"/>
        <w:jc w:val="both"/>
      </w:pPr>
      <w:r>
        <w:tab/>
        <w:t>5-Alınması gereken karar harcından kalan bakiyenin tarafımızdan tahsiline ve kabul edilen miktar ve yürürlükteki  Avukatlık Asgari Ücret Tarifesine göre belirlenen vekalet ücretinin tarafımızdan alınıp davacı tarafa verilmesi yukarıda belirtilen gerekçeler göz önünde buldurularak reddedilmesi gerekmektedir.</w:t>
      </w:r>
    </w:p>
    <w:p w:rsidR="00063914" w:rsidRDefault="00063914" w:rsidP="009F7017">
      <w:pPr>
        <w:pStyle w:val="AralkYok"/>
        <w:jc w:val="both"/>
      </w:pPr>
      <w:r/>
    </w:p>
    <w:p w:rsidR="009F7017" w:rsidRDefault="009F7017" w:rsidP="009F7017">
      <w:pPr>
        <w:pStyle w:val="AralkYok"/>
        <w:jc w:val="both"/>
      </w:pPr>
      <w:r>
        <w:tab/>
        <w:t>Davacı tarafın yapmış olduğu harç giderinin tamamı ile Ptt Gideri,bilirkişi ücreti olan yargılama giderlerinin kabul redde göre tarafımızdan alınıp  davacıya verilmesi yukarıda belirtilen gerekçeler göz önünde bulundurularak reddedilmesi gerekmektedir.</w:t>
      </w:r>
    </w:p>
    <w:p w:rsidR="00080557" w:rsidRDefault="00080557" w:rsidP="009F7017">
      <w:pPr>
        <w:pStyle w:val="AralkYok"/>
        <w:jc w:val="both"/>
      </w:pPr>
      <w:r>
        <w:t xml:space="preserve"> </w:t>
      </w:r>
    </w:p>
    <w:p w:rsidR="00080557" w:rsidRDefault="00080557" w:rsidP="009F7017">
      <w:pPr>
        <w:pStyle w:val="AralkYok"/>
        <w:jc w:val="both"/>
      </w:pPr>
      <w:r>
        <w:t xml:space="preserve">              6-Mahkemenizce verilen gerekçeli kararda lehimize olan hususları kabul ediyoruz.</w:t>
      </w:r>
    </w:p>
    <w:p w:rsidR="009F7017" w:rsidRDefault="009F7017" w:rsidP="009F7017">
      <w:pPr>
        <w:pStyle w:val="AralkYok"/>
        <w:jc w:val="both"/>
      </w:pPr>
      <w:r/>
    </w:p>
    <w:p w:rsidR="009F7017" w:rsidRPr="00662A3C" w:rsidRDefault="009F7017" w:rsidP="009F7017">
      <w:pPr>
        <w:pStyle w:val="AralkYok"/>
        <w:jc w:val="both"/>
      </w:pPr>
      <w:r>
        <w:t>SONUÇ VE İSTEM</w:t>
        <w:tab/>
        <w:t>: Yukarıda açıklanan nedenlerle ,istinaf talebimizin kabulüne ve  mahkemenizce verilen gerekçeli kararda aleyhe hükmün hukuka aykırılık sebebiyle bozulmasına  ve dosyanın yeniden incelenmek ve hükmolunmak üzere hükmü bozulan ilk derece mahkemesine gönderilmesini; aksi takdirde istinaf mahkemenizde davanın yeniden görülüp, duruşma açılarak sonrasında davacının taleplerinin REDDİNE karar verilmesini, saygılarımla arz ve talep ederim.</w:t>
      </w:r>
    </w:p>
    <w:p w:rsidR="009F7017" w:rsidRDefault="009F7017" w:rsidP="009F7017">
      <w:pPr>
        <w:pStyle w:val="AralkYok"/>
        <w:jc w:val="both"/>
      </w:pPr>
      <w:r/>
    </w:p>
    <w:p w:rsidR="009F7017" w:rsidRDefault="009F7017" w:rsidP="009F7017">
      <w:pPr>
        <w:pStyle w:val="AralkYok"/>
        <w:jc w:val="both"/>
      </w:pPr>
      <w:r/>
    </w:p>
    <w:p w:rsidR="009F7017" w:rsidRDefault="009F7017" w:rsidP="009F7017">
      <w:pPr>
        <w:pStyle w:val="AralkYok"/>
        <w:jc w:val="both"/>
      </w:pPr>
      <w:r/>
    </w:p>
    <w:p w:rsidR="009F7017" w:rsidRDefault="009F7017" w:rsidP="009F7017">
      <w:pPr>
        <w:pStyle w:val="AralkYok"/>
        <w:jc w:val="both"/>
        <w:rPr>
          <w:b/>
        </w:rPr>
      </w:pPr>
      <w:r>
        <w:tab/>
        <w:tab/>
        <w:tab/>
        <w:tab/>
        <w:tab/>
        <w:tab/>
        <w:tab/>
        <w:tab/>
        <w:tab/>
        <w:t>Davalı Vekili</w:t>
      </w:r>
    </w:p>
    <w:p w:rsidR="009F7017" w:rsidRDefault="009F7017" w:rsidP="009F7017">
      <w:pPr>
        <w:pStyle w:val="AralkYok"/>
        <w:jc w:val="both"/>
      </w:pPr>
      <w:r>
        <w:tab/>
        <w:tab/>
        <w:tab/>
        <w:tab/>
        <w:tab/>
        <w:tab/>
        <w:tab/>
        <w:tab/>
        <w:tab/>
        <w:t>************</w:t>
      </w:r>
    </w:p>
    <w:p w:rsidR="009F7017" w:rsidRDefault="009F7017" w:rsidP="009F7017">
      <w:pPr>
        <w:pStyle w:val="AralkYok"/>
        <w:jc w:val="both"/>
      </w:pPr>
      <w:r/>
    </w:p>
    <w:p w:rsidR="009F7017" w:rsidRDefault="009F7017" w:rsidP="009F7017">
      <w:pPr>
        <w:pStyle w:val="AralkYok"/>
        <w:ind w:left="720"/>
        <w:jc w:val="both"/>
      </w:pPr>
      <w:r/>
    </w:p>
    <w:p w:rsidR="009F7017" w:rsidRDefault="009F7017" w:rsidP="009F7017">
      <w:pPr>
        <w:pStyle w:val="AralkYok"/>
        <w:jc w:val="both"/>
        <w:rPr>
          <w:b/>
        </w:rPr>
      </w:pPr>
      <w:r/>
    </w:p>
    <w:p w:rsidR="009F7017" w:rsidRPr="009F7017" w:rsidRDefault="009F7017" w:rsidP="00BE1939">
      <w:r/>
    </w:p>
    <w:p w:rsidR="00BF1513" w:rsidRPr="007B4FA0" w:rsidRDefault="00BF1513" w:rsidP="00BF1513">
      <w:pPr>
        <w:jc w:val="both"/>
        <w:rPr>
          <w:b/>
          <w:color w:val="000000" w:themeColor="text1"/>
          <w:sz w:val="24"/>
          <w:szCs w:val="24"/>
        </w:rPr>
      </w:pPr>
      <w:r/>
    </w:p>
    <w:p w:rsidR="007B4FA0" w:rsidRPr="007B4FA0" w:rsidRDefault="007B4FA0" w:rsidP="007B4FA0">
      <w:pPr>
        <w:jc w:val="both"/>
        <w:rPr>
          <w:b/>
        </w:rPr>
      </w:pPr>
      <w:r/>
    </w:p>
    <w:sectPr w:rsidR="007B4FA0" w:rsidRPr="007B4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A0"/>
    <w:rsid w:val="00063914"/>
    <w:rsid w:val="00080557"/>
    <w:rsid w:val="00341BFD"/>
    <w:rsid w:val="00662A3C"/>
    <w:rsid w:val="00766A4D"/>
    <w:rsid w:val="007B4FA0"/>
    <w:rsid w:val="009F7017"/>
    <w:rsid w:val="00A96033"/>
    <w:rsid w:val="00BE1939"/>
    <w:rsid w:val="00BF1513"/>
    <w:rsid w:val="00BF7574"/>
    <w:rsid w:val="00C257B2"/>
    <w:rsid w:val="00C4108A"/>
    <w:rsid w:val="00E43907"/>
    <w:rsid w:val="00F069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1513"/>
    <w:pPr>
      <w:spacing w:after="0" w:line="240" w:lineRule="auto"/>
    </w:pPr>
    <w:rPr>
      <w:noProof/>
    </w:rPr>
  </w:style>
  <w:style w:type="character" w:styleId="Kpr">
    <w:name w:val="Hyperlink"/>
    <w:basedOn w:val="VarsaylanParagrafYazTipi"/>
    <w:uiPriority w:val="99"/>
    <w:semiHidden/>
    <w:unhideWhenUsed/>
    <w:rsid w:val="00BE19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1513"/>
    <w:pPr>
      <w:spacing w:after="0" w:line="240" w:lineRule="auto"/>
    </w:pPr>
    <w:rPr>
      <w:noProof/>
    </w:rPr>
  </w:style>
  <w:style w:type="character" w:styleId="Kpr">
    <w:name w:val="Hyperlink"/>
    <w:basedOn w:val="VarsaylanParagrafYazTipi"/>
    <w:uiPriority w:val="99"/>
    <w:semiHidden/>
    <w:unhideWhenUsed/>
    <w:rsid w:val="00BE19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00413">
      <w:bodyDiv w:val="1"/>
      <w:marLeft w:val="0"/>
      <w:marRight w:val="0"/>
      <w:marTop w:val="0"/>
      <w:marBottom w:val="0"/>
      <w:divBdr>
        <w:top w:val="none" w:sz="0" w:space="0" w:color="auto"/>
        <w:left w:val="none" w:sz="0" w:space="0" w:color="auto"/>
        <w:bottom w:val="none" w:sz="0" w:space="0" w:color="auto"/>
        <w:right w:val="none" w:sz="0" w:space="0" w:color="auto"/>
      </w:divBdr>
    </w:div>
    <w:div w:id="798374257">
      <w:bodyDiv w:val="1"/>
      <w:marLeft w:val="0"/>
      <w:marRight w:val="0"/>
      <w:marTop w:val="0"/>
      <w:marBottom w:val="0"/>
      <w:divBdr>
        <w:top w:val="none" w:sz="0" w:space="0" w:color="auto"/>
        <w:left w:val="none" w:sz="0" w:space="0" w:color="auto"/>
        <w:bottom w:val="none" w:sz="0" w:space="0" w:color="auto"/>
        <w:right w:val="none" w:sz="0" w:space="0" w:color="auto"/>
      </w:divBdr>
    </w:div>
    <w:div w:id="951396199">
      <w:bodyDiv w:val="1"/>
      <w:marLeft w:val="0"/>
      <w:marRight w:val="0"/>
      <w:marTop w:val="0"/>
      <w:marBottom w:val="0"/>
      <w:divBdr>
        <w:top w:val="none" w:sz="0" w:space="0" w:color="auto"/>
        <w:left w:val="none" w:sz="0" w:space="0" w:color="auto"/>
        <w:bottom w:val="none" w:sz="0" w:space="0" w:color="auto"/>
        <w:right w:val="none" w:sz="0" w:space="0" w:color="auto"/>
      </w:divBdr>
    </w:div>
    <w:div w:id="10152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azanci.com/kho2/ibb/files/tc4857.htm" TargetMode="External"/><Relationship Id="rId5" Type="http://schemas.openxmlformats.org/officeDocument/2006/relationships/hyperlink" Target="http://www.kazanci.com/kho2/ibb/files/tc4857.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Sekreterya</dc:creator>
  <cp:lastModifiedBy>Sekreterya</cp:lastModifiedBy>
  <cp:revision>2</cp:revision>
  <dcterms:created xsi:type="dcterms:W3CDTF">2018-03-23T12:55:00Z</dcterms:created>
  <dcterms:modified xsi:type="dcterms:W3CDTF">2018-03-23T12:55:00Z</dcterms:modified>
</cp:coreProperties>
</file>